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Arial Black" w:hAnsi="Arial Black" w:eastAsia="宋体" w:cstheme="minorBidi"/>
          <w:b/>
          <w:bCs/>
          <w:color w:val="000000"/>
          <w:sz w:val="52"/>
          <w:szCs w:val="20"/>
          <w:lang w:eastAsia="zh-CN"/>
        </w:rPr>
      </w:pPr>
    </w:p>
    <w:p>
      <w:pPr>
        <w:spacing w:line="360" w:lineRule="auto"/>
        <w:jc w:val="center"/>
        <w:rPr>
          <w:rFonts w:hint="eastAsia" w:ascii="Times New Roman" w:hAnsi="Times New Roman"/>
          <w:sz w:val="44"/>
          <w:szCs w:val="44"/>
        </w:rPr>
      </w:pPr>
      <w:r>
        <w:rPr>
          <w:rFonts w:hint="eastAsia" w:ascii="Arial Black" w:hAnsi="Arial Black" w:eastAsia="宋体" w:cstheme="minorBidi"/>
          <w:b/>
          <w:bCs/>
          <w:color w:val="000000"/>
          <w:sz w:val="52"/>
          <w:szCs w:val="20"/>
          <w:lang w:eastAsia="zh-CN"/>
        </w:rPr>
        <w:t>贵州文化薪火乡村发展基金会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物资捐赠使用及监督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1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lang w:eastAsia="zh-CN"/>
        </w:rPr>
        <w:t>理事长：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2"/>
          <w:lang w:eastAsia="zh-CN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二零一九年一月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spacing w:line="360" w:lineRule="auto"/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 xml:space="preserve">第一条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为了规范物资捐赠活动，加强物资捐赠管理，保护捐赠人、受赠人和中国社会福利基金会(以下简称基金会)的合法权益，促进公益事业的发展，根据《中华人民共和国公益事业捐赠法》、国务院《基金会管理条例》、财政部《民间非营利组织会计制度》、民政部《关于规范基金会行为若干规定》、《中国社会福利基金会财务管理办法》，制定本办法。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第二条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基金会组织募捐、接受捐赠,应当符合章程规定的宗旨和公益活动的业务范围。接受捐赠的物资无法用于符合其宗旨的用途时，在征得捐赠人同意后可以依法拍卖或者变卖，所得收入用于捐赠目的。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第三条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物资捐赠包括 :生产企业的自产物品、流通企业购买的商品、旧物资设备、固定资产、图书、艺术品和文化用品等物资。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 xml:space="preserve">第四条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捐赠人应与基金会就捐赠物资的种类、 质量、数量、价值和用途等内容订立捐赠协议或签订物资捐赠证明书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1)。在捐赠协议或物资捐赠证明书中约定用途和使用方向。为确保捐赠物资，财产合法，质量合格，价值公允，协议中含捐赠方承诺内容。如果捐赠物资品种、数量较多,要附物资捐赠清单。如果捐赠的物资是食品、药品，捐赠方要提供生产许可证及本批次产品检测报告。基金会按协议约定使用财产,如需改变用途,应征得捐赠人同意并且用于公益事业。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第五条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基金会接受物资捐赠的入账依据: 捐赠人提供了发票、报关单等凭据的，以相关凭据作为确认入账价值的依据;捐赠方不能提供凭据的,以其他确认捐赠财产价值的证明，作为确认入账价值的依据;捐赠人所提供的凭据、证明与受赠资产价值相差较大的，以公允价值作为入账价值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(一)捐赠人提供其自产物资，以出厂价为入账依据,在出厂价的基础上折让10%或以上(参考当地物价部门]核定产品单价或近期销售同类产品发票、合同复印件)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(二)进口物资以海关报价为入账依据(提供报关单)。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(三)购买的物资以购买价为入账依据(提供购物发票)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(四)价值较高的旧设备、物资以评估价为入账依据(提供评估报告)。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(五)旧固定资产尚在折旧年限之内的，根据捐赠方提供采购时的金额，按照税务相关规定以计提折旧后的剩余价值计价。捐赠人捐赠的已过折旧期限的旧固定 资产按照税务相关规定应以该资产购买价的5%计价。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(六)文物、字画、工艺品以拍卖成交价为入账依据。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(七)图书以定价为依据,按-到两点五折计算入账。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(八)无法评估或经评估无法确认价格的，不计入捐赠收入,不予开具捐赠票据。可在备查簿中登记，进行表外公示并颁发捐赠证书。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第六条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接受捐赠的食品、 药品、生物化学制品、医疗器械等物资，必须具有相关产品生产、销售资质，必须符合国家食品药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品监督管理部门的相关规定。要查看物品保质期及合格证,确保物品到达受益人时仍处于保质期内且具有实用价值。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第七条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基金会受赠财产的使用应尊重捐赠人的意愿， 符合公益目的，不得将捐赠财产挪作他用。按照捐赠人意愿或基金会宗旨确定受助对象。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第八条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物资捐赠核算方式， 为降低储运成本，基金会不设仓库。由捐赠方直接将捐赠物资运抵受赠方,基金会委派人员到受赠方验收捐赠物资的数量和质量,并办理验收手续,填写物资验收证明(附件3)。基金管理部根据捐赠方提供的捐赠协议、物资捐赠清单、物资验收证明、受赠单位提供的受赠证明向捐赠方开具捐赠票据。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第九条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审批程序, 按专项基金财务管理办法中的要求执行。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第十条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接受捐赠的物资及 用途及时上网公示。接受捐赠人及社会公众的查询及监督。</w:t>
      </w:r>
    </w:p>
    <w:p>
      <w:pPr>
        <w:ind w:firstLine="602" w:firstLineChars="2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第十一条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本办法自发布之 日起施行。</w:t>
      </w:r>
    </w:p>
    <w:p>
      <w:pPr>
        <w:ind w:firstLine="5722" w:firstLineChars="1900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贵州文化薪火乡村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发展基金会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2019年1月1日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宋体"/>
        <w:lang w:eastAsia="zh-CN"/>
      </w:rPr>
      <w:drawing>
        <wp:inline distT="0" distB="0" distL="114300" distR="114300">
          <wp:extent cx="5172075" cy="609600"/>
          <wp:effectExtent l="0" t="0" r="9525" b="0"/>
          <wp:docPr id="1" name="图片 1" descr="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95457"/>
    <w:rsid w:val="0A5E3983"/>
    <w:rsid w:val="15077684"/>
    <w:rsid w:val="31F95457"/>
    <w:rsid w:val="48BF12CF"/>
    <w:rsid w:val="758142D7"/>
    <w:rsid w:val="75A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2021-11-17T04:01:00Z</dcterms:created>
  <dc:creator>程梦妮</dc:creator>
  <cp:lastModifiedBy>Kate</cp:lastModifiedBy>
  <dcterms:modified xsi:type="dcterms:W3CDTF">2021-11-18T03:05:59Z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F62DE26E0B74459FABDF9546250BDB78</vt:lpwstr>
  </property>
</Properties>
</file>