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sz w:val="44"/>
          <w:szCs w:val="44"/>
        </w:rPr>
      </w:pPr>
    </w:p>
    <w:p>
      <w:pPr>
        <w:spacing w:line="360" w:lineRule="auto"/>
        <w:jc w:val="center"/>
        <w:rPr>
          <w:rFonts w:hint="eastAsia" w:ascii="Times New Roman" w:hAnsi="Times New Roman"/>
          <w:sz w:val="44"/>
          <w:szCs w:val="44"/>
        </w:rPr>
      </w:pPr>
    </w:p>
    <w:p>
      <w:pPr>
        <w:spacing w:line="360" w:lineRule="auto"/>
        <w:jc w:val="both"/>
        <w:rPr>
          <w:rFonts w:hint="eastAsia" w:ascii="Times New Roman" w:hAnsi="Times New Roman"/>
          <w:sz w:val="44"/>
          <w:szCs w:val="44"/>
        </w:rPr>
      </w:pPr>
    </w:p>
    <w:p>
      <w:pPr>
        <w:spacing w:line="360" w:lineRule="auto"/>
        <w:jc w:val="center"/>
        <w:rPr>
          <w:rFonts w:hint="eastAsia" w:ascii="Times New Roman" w:hAnsi="Times New Roman"/>
          <w:sz w:val="44"/>
          <w:szCs w:val="44"/>
        </w:rPr>
      </w:pPr>
      <w:r>
        <w:rPr>
          <w:rFonts w:hint="eastAsia" w:ascii="Arial Black" w:hAnsi="Arial Black" w:eastAsia="宋体" w:cs="Times New Roman"/>
          <w:b/>
          <w:bCs/>
          <w:color w:val="000000"/>
          <w:sz w:val="52"/>
          <w:szCs w:val="20"/>
          <w:lang w:eastAsia="zh-CN"/>
        </w:rPr>
        <w:t>贵州文化薪火乡村发展基金会</w:t>
      </w:r>
    </w:p>
    <w:p>
      <w:pPr>
        <w:spacing w:line="360" w:lineRule="auto"/>
        <w:jc w:val="center"/>
        <w:rPr>
          <w:rFonts w:hint="eastAsia" w:ascii="Arial Black" w:hAnsi="Arial Black" w:eastAsia="宋体" w:cs="Times New Roman"/>
          <w:b/>
          <w:bCs/>
          <w:color w:val="000000"/>
          <w:sz w:val="52"/>
          <w:szCs w:val="20"/>
          <w:lang w:eastAsia="zh-CN"/>
        </w:rPr>
      </w:pPr>
      <w:r>
        <w:rPr>
          <w:rFonts w:hint="eastAsia" w:ascii="Arial Black" w:hAnsi="Arial Black" w:eastAsia="宋体" w:cs="Times New Roman"/>
          <w:b/>
          <w:bCs/>
          <w:color w:val="000000"/>
          <w:sz w:val="52"/>
          <w:szCs w:val="20"/>
          <w:lang w:eastAsia="zh-CN"/>
        </w:rPr>
        <w:t>资产管理、</w:t>
      </w:r>
      <w:r>
        <w:rPr>
          <w:rFonts w:hint="eastAsia" w:ascii="Arial Black" w:hAnsi="Arial Black" w:eastAsia="宋体" w:cs="Times New Roman"/>
          <w:b/>
          <w:bCs/>
          <w:color w:val="000000"/>
          <w:sz w:val="52"/>
          <w:szCs w:val="20"/>
          <w:lang w:val="en-US" w:eastAsia="zh-CN"/>
        </w:rPr>
        <w:t>使用</w:t>
      </w:r>
      <w:r>
        <w:rPr>
          <w:rFonts w:hint="eastAsia" w:ascii="Arial Black" w:hAnsi="Arial Black" w:eastAsia="宋体" w:cs="Times New Roman"/>
          <w:b/>
          <w:bCs/>
          <w:color w:val="000000"/>
          <w:sz w:val="52"/>
          <w:szCs w:val="20"/>
          <w:lang w:eastAsia="zh-CN"/>
        </w:rPr>
        <w:t>制度</w:t>
      </w:r>
    </w:p>
    <w:p>
      <w:pPr>
        <w:spacing w:line="360" w:lineRule="auto"/>
        <w:jc w:val="center"/>
        <w:rPr>
          <w:rFonts w:hint="eastAsia" w:ascii="Times New Roman" w:hAnsi="Times New Roman"/>
          <w:sz w:val="32"/>
          <w:szCs w:val="32"/>
        </w:rPr>
      </w:pPr>
    </w:p>
    <w:p>
      <w:pPr>
        <w:spacing w:line="360" w:lineRule="auto"/>
        <w:jc w:val="center"/>
        <w:rPr>
          <w:rFonts w:hint="eastAsia" w:ascii="Times New Roman" w:hAnsi="Times New Roman"/>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both"/>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sz w:val="32"/>
          <w:lang w:eastAsia="zh-CN"/>
        </w:rPr>
      </w:pPr>
      <w:r>
        <w:rPr>
          <w:rFonts w:hint="eastAsia" w:ascii="宋体" w:hAnsi="宋体"/>
          <w:b/>
          <w:bCs/>
          <w:color w:val="000000"/>
          <w:sz w:val="32"/>
          <w:lang w:eastAsia="zh-CN"/>
        </w:rPr>
        <w:t>理事长：</w:t>
      </w:r>
      <w:bookmarkStart w:id="0" w:name="_GoBack"/>
      <w:bookmarkEnd w:id="0"/>
      <w:r>
        <w:rPr>
          <w:rFonts w:hint="eastAsia" w:ascii="宋体" w:hAnsi="宋体"/>
          <w:b/>
          <w:bCs/>
          <w:color w:val="000000"/>
          <w:sz w:val="32"/>
          <w:lang w:eastAsia="zh-CN"/>
        </w:rPr>
        <w:t>（签字）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b/>
          <w:bCs/>
          <w:sz w:val="32"/>
          <w:lang w:val="en-US" w:eastAsia="zh-CN"/>
        </w:rPr>
      </w:pPr>
      <w:r>
        <w:rPr>
          <w:rFonts w:hint="eastAsia"/>
          <w:b/>
          <w:bCs/>
          <w:sz w:val="32"/>
          <w:lang w:val="en-US" w:eastAsia="zh-CN"/>
        </w:rPr>
        <w:t>二零一九年一月</w:t>
      </w:r>
    </w:p>
    <w:p>
      <w:pPr>
        <w:jc w:val="center"/>
        <w:rPr>
          <w:rFonts w:hint="eastAsia"/>
          <w:sz w:val="48"/>
          <w:szCs w:val="48"/>
          <w:lang w:val="en-US" w:eastAsia="zh-CN"/>
        </w:rPr>
      </w:pPr>
    </w:p>
    <w:p>
      <w:pPr>
        <w:jc w:val="center"/>
        <w:rPr>
          <w:rFonts w:hint="eastAsia"/>
          <w:sz w:val="48"/>
          <w:szCs w:val="48"/>
          <w:lang w:val="en-US" w:eastAsia="zh-CN"/>
        </w:rPr>
      </w:pPr>
    </w:p>
    <w:p>
      <w:pPr>
        <w:rPr>
          <w:rFonts w:hint="eastAsia" w:asciiTheme="minorEastAsia" w:hAnsiTheme="minorEastAsia" w:eastAsiaTheme="minorEastAsia" w:cstheme="minorEastAsia"/>
          <w:b/>
          <w:bCs/>
          <w:sz w:val="32"/>
          <w:szCs w:val="32"/>
          <w:lang w:val="en-US" w:eastAsia="zh-CN"/>
        </w:rPr>
      </w:pPr>
    </w:p>
    <w:p>
      <w:pPr>
        <w:rPr>
          <w:rFonts w:hint="eastAsia" w:asciiTheme="minorEastAsia" w:hAnsiTheme="minorEastAsia" w:eastAsiaTheme="minorEastAsia" w:cstheme="minorEastAsia"/>
          <w:b/>
          <w:bCs/>
          <w:sz w:val="32"/>
          <w:szCs w:val="32"/>
          <w:lang w:val="en-US" w:eastAsia="zh-CN"/>
        </w:rPr>
      </w:pPr>
    </w:p>
    <w:p>
      <w:pPr>
        <w:rPr>
          <w:rFonts w:hint="eastAsia" w:asciiTheme="minorEastAsia" w:hAnsiTheme="minorEastAsia" w:eastAsiaTheme="minorEastAsia" w:cstheme="minorEastAsia"/>
          <w:b/>
          <w:bCs/>
          <w:sz w:val="32"/>
          <w:szCs w:val="32"/>
          <w:lang w:val="en-US" w:eastAsia="zh-CN"/>
        </w:rPr>
      </w:pPr>
    </w:p>
    <w:p>
      <w:pPr>
        <w:rPr>
          <w:rFonts w:hint="eastAsia" w:asciiTheme="minorEastAsia" w:hAnsiTheme="minorEastAsia" w:eastAsiaTheme="minorEastAsia" w:cstheme="minorEastAsia"/>
          <w:b/>
          <w:bCs/>
          <w:sz w:val="32"/>
          <w:szCs w:val="32"/>
          <w:lang w:val="en-US" w:eastAsia="zh-CN"/>
        </w:rPr>
      </w:pPr>
    </w:p>
    <w:p>
      <w:pPr>
        <w:rPr>
          <w:rFonts w:hint="eastAsia" w:asciiTheme="minorEastAsia" w:hAnsiTheme="minorEastAsia" w:eastAsiaTheme="minorEastAsia" w:cstheme="minorEastAsia"/>
          <w:b/>
          <w:bCs/>
          <w:sz w:val="32"/>
          <w:szCs w:val="32"/>
          <w:lang w:val="en-US" w:eastAsia="zh-CN"/>
        </w:rPr>
      </w:pPr>
    </w:p>
    <w:p>
      <w:pPr>
        <w:jc w:val="center"/>
        <w:rPr>
          <w:rFonts w:hint="eastAsia"/>
          <w:sz w:val="48"/>
          <w:szCs w:val="48"/>
          <w:lang w:val="en-US" w:eastAsia="zh-CN"/>
        </w:rPr>
      </w:pPr>
      <w:r>
        <w:rPr>
          <w:rFonts w:hint="eastAsia"/>
          <w:sz w:val="48"/>
          <w:szCs w:val="48"/>
          <w:lang w:val="en-US" w:eastAsia="zh-CN"/>
        </w:rPr>
        <w:t>资产管理制度</w:t>
      </w:r>
    </w:p>
    <w:p>
      <w:pPr>
        <w:rPr>
          <w:rFonts w:hint="eastAsia" w:asciiTheme="minorEastAsia" w:hAnsiTheme="minorEastAsia" w:eastAsiaTheme="minorEastAsia" w:cstheme="minorEastAsia"/>
          <w:b/>
          <w:bCs/>
          <w:sz w:val="32"/>
          <w:szCs w:val="32"/>
          <w:lang w:val="en-US" w:eastAsia="zh-CN"/>
        </w:rPr>
      </w:pPr>
    </w:p>
    <w:p>
      <w:pPr>
        <w:ind w:firstLine="643"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第一章总则</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第--条 为了规范投资和资产处置行为，根据《中华人民共和国公用事业捐赠法》、《基金会管理条例》和《民间非营利组织会计制度》等法律、法规及《乐清市乐中教育发展基金会章程》制定本制度。</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第二条 本制度所称的资产管理主要包括流动资产、 投资资产、固定资产和资产处置管理等。流动资产是指基金会可以在-年或者超过一年的一个营业周期内变现或者运用的资产，投资资产是指本基金会用于短期投资或长期投资形成的资产，固定资产是为行政管理、提供服务、生产商品或者出租目的而持有的，预计使用年限超过1年，单位价值较高的有形资产;资产处置是指资产占用单位转移、变更和核销其占有、使用的资产部分或全部所有权、使用权，以及改变资产性质或用途的行为。</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第三条 本基金会资产管理的基本原则是:合法、谨慎、安全、有效。</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第四条 本基金会按照《民间非营利组织会计制度》对资产进行会计核算和信息披露。</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第二章资产管理</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第五条 基金会理事会对资产管理履行决策职责;秘书处对资产履行管理职责。</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第六条 基金会理事会对资产管理履行以下决策职责:</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1.制定资产管理的具体规定;</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2.决定重大投资活动;</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3.制定年度投资计划和资产处置计划;</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4.检查、监督秘书处的投资管理和资产处置工作;</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5.其他有关资产管理的重大事项。</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第七条 秘书处对理事会负责，对资产履行以下管理职责:</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1.执行理事会制定的投资战略、具体规定及其他有关决议;</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2.执行年度投资计划和资产处置计划，负责相关投资管理和资产处置工作;</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3.负责对所投资项目的监督和管理;</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4.负责资产的财务管理与会计核算，依法编制财务会计报表，定期向理事会报告;</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5.完成理事会授权和交办的其他工作。</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第八条 理事遇有个人利益与本基金会资产利益关联时，不得参与相关事宜的决策;基金会理事、监事和及其近亲属不得与本基金会有任何资产交易行为。</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第九条 流动资产的管理</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流动资产包括现金、银行存款、应收及预付款项等。现金是指存放在财务部门，由出纳人员保管的库存现金，包括人民币和外币。基金会必须严格按照国务院颁布的《现金管理暂行条例》的规定办理现金的收付。本基金会暂不使用现金收支。银行存款是指存放在银行或其他金融机构的货币资金。不属于现金结算范围的款项支付应全部通过银行进行转账结算。本基金会全部业务通过网银支付。</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严格执行现金管理办法、内部控制制度。确保办理货币资金业务的不相容岗位互相分离、制约和监督。开通专人专用证书U盾两个。办理网上银行业务必须严格按照规定的授权与流程进行操作，至少由两人操作才能完成支付业务。</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3.对资金的使用情况，要进行定期和不定期检查，进行应付及预收款项的对账和清理。</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第十条 固定资产的管理</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1.基金会固定资产的管理和使用实行统一核算、 责任到人、物尽其用的原则;</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秘书处是固定资产实物管理部门，负责固定资产的日常管理工作，具体包括:编制固定资产目录，设立固定资产卡片，办理固定资产的申购、验收、移交、报废、处置等手续，组织固定资产的清查盘点，定期与财务人员进行固定资产核算，确保固定资产账、卡、 物相符;</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3.基金会固定资产必须每年盘点、做到账实相符。发现短缺、损坏要查明原因，追究责任，并根据情况责成相关人予以部分或全部赔偿损失，报废及长期闲置的固定资产要按规定及时处理;</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4.基金会的固定资产，其他组织和个人不得侵占、挪用或任意调拨;</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5.固定资产管理人员变动时，必须做好交接工作。</w:t>
      </w:r>
    </w:p>
    <w:p>
      <w:pPr>
        <w:ind w:firstLine="643"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第三章资产处置</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第十一条 资产的处置实行“集体审查、分级批准、上报 备案”的办法完善内部控制制度、制衡机制。</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第十二条 秘书处负责资产处置的日常工作。</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第十三条 投资资产损失在万元(包含万元)以下项目的资产处置方案报理事会进行合规性审查，签署理事会审批意见。</w:t>
      </w:r>
    </w:p>
    <w:p>
      <w:pPr>
        <w:ind w:firstLine="643"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第四章管理责任</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第十四条 所有资产管理以及处置方案应报理事会备案。</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第十五条 理事会对资产管理和处置审批的事项，按照基金会章程规定履行决策程序。</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第十六条 对手续不完备的投资项目或资产处置，由最终审批人员负主要责任。</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第十七条 发生以下行为，对有关责任人员视情节轻重给予警告或辞退;造成资产损失的，要根据理事会规定进行赔偿;涉嫌犯罪的，移交司法机关处理;</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1.未经规定程序审批，擅自投资或处置资产;</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2.以本基金会资产为自己或他人谋取私利;</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3.玩忽职守;</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4.泄露资产秘密及其他可能损害基金会信誉的行为;</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5.其他可能造成资产损失的行为。</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第十八条 由于国家法律、政策发生重大变化或出现自然灾害等不可抗力原因造成资产损失的，不追究管理人员的责任。</w:t>
      </w:r>
    </w:p>
    <w:p>
      <w:pPr>
        <w:ind w:firstLine="643"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第五章附则</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第十九条 本制度由基金会理事会制订，本制度的解释权和修改权属于理事会。</w:t>
      </w:r>
    </w:p>
    <w:p>
      <w:pPr>
        <w:ind w:firstLine="640" w:firstLineChars="200"/>
        <w:rPr>
          <w:rFonts w:hint="eastAsia"/>
          <w:lang w:val="en-US" w:eastAsia="zh-CN"/>
        </w:rPr>
      </w:pPr>
      <w:r>
        <w:rPr>
          <w:rFonts w:hint="eastAsia" w:asciiTheme="minorEastAsia" w:hAnsiTheme="minorEastAsia" w:eastAsiaTheme="minorEastAsia" w:cstheme="minorEastAsia"/>
          <w:sz w:val="32"/>
          <w:szCs w:val="32"/>
          <w:lang w:val="en-US" w:eastAsia="zh-CN"/>
        </w:rPr>
        <w:t>第二十条 本制度经基金会理事会通过之日起生效。法律、法规中另有规定的按其规定执行。</w:t>
      </w:r>
    </w:p>
    <w:p>
      <w:pPr>
        <w:rPr>
          <w:rFonts w:hint="eastAsia"/>
          <w:lang w:val="en-US" w:eastAsia="zh-CN"/>
        </w:rPr>
      </w:pPr>
    </w:p>
    <w:p>
      <w:pPr>
        <w:jc w:val="center"/>
        <w:rPr>
          <w:rFonts w:hint="eastAsia"/>
          <w:b/>
          <w:bCs/>
          <w:sz w:val="48"/>
          <w:szCs w:val="48"/>
          <w:lang w:val="en-US" w:eastAsia="zh-CN"/>
        </w:rPr>
      </w:pPr>
      <w:r>
        <w:rPr>
          <w:rFonts w:hint="eastAsia"/>
          <w:b/>
          <w:bCs/>
          <w:sz w:val="48"/>
          <w:szCs w:val="48"/>
          <w:lang w:val="en-US" w:eastAsia="zh-CN"/>
        </w:rPr>
        <w:t>资产使用制度</w:t>
      </w:r>
    </w:p>
    <w:p>
      <w:pPr>
        <w:rPr>
          <w:rFonts w:hint="default"/>
          <w:lang w:val="en-US" w:eastAsia="zh-CN"/>
        </w:rPr>
      </w:pP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第一条</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为加强四川大学教育基金会固定资产管理工作，根据《中华人民共和国会计法》、《基金会管理条例》、《民间非营利组织会计制度》等规定，结合本基金会实际，特制定本办法。</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第二条</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固定资产的确认:是指使用期限超过一年，单位价值在1000元以上(其中:专用设备单位价值在1500元以上)，并在使用过程中基本保持原有物质形态的资产。单位价值虽未达到规定标准，但耐用时间在一年以上的大批同类物资作为固定资产管理。</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第三条</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固定资产的计价:固定资产在取得时，应当按取得时的实际成本入账。取得时的实际成本包括买价、包装费、运输费、交纳的有关税金等相关费用，以及为使固定资产达到预定可使用状态前所必要的支出。如果以接受捐赠方式取得固定资产，应当按照以下方法确定其入账价值:</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(一)</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捐赠方提供了有关凭据(如发票、报关单、有关协议等)，按照凭据上标明的金额作为入账价值。如果凭据上标明的金额与受赠资产公允价值相差较大，受赠资产应当以其公允价值作为其入账价值。</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(二)</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捐赠方没有提供有关凭据，受赠资产以其公允价值作为入账价值。</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(三)</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无法确认公允价值的固定资产应当以具有合法资质的第三方机构的评估作为确认入账价值的依据。如果有确凿的证据表明资产的公允价值确实无法可靠计量，基金会不得计入捐赠收入，不得开具捐赠票据，应当设置辅助账，单独登记所取得资产的名称、数量、来源、用途等情况，并在会计报表附注中作相关披露。</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第四条</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固定资产的折旧:基金会应对固定资产计提折旧，折旧的方法按年限平均法。但对文物文化类固定资产不必计提折旧。本基金会固定资产暂不提取减值准备。</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第五条</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固定资产的管理:基金会应对固定资产设立卡片账，实物应粘贴与资产编号相对应的标签，设专人管理实物资产;同时应做好验收、保管、领用、检查、维护、盘点等固定资产日常管理工作，并落实到相关责任人。</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第六条</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固定资产的购置:基金会应对固定资产实行合理配备、有效使用。</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第七条</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固定资产的处置:主要包括由各种原因引起的固定资产无偿调拨(划转)、转让、 转赠、报废报损等。</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(一)</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对于无偿调拨(划转)、转让的固定资产，由基金会综合部提出申请，基金会负责人按权限批准同意或报主管部门批准同意后，予以办理后续工作。</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(二)</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对于转赠的固定资产，由基金会综合部提出申请，基金会负责人按权限批准同意或报主管部门门批准同意后， 与接受转赠的单位办理转赠手续。</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(三)</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对于报废报损的固定资产，由资产使用部门提出报废报损申请，基金会综合部会同相关部提出处理意见并报基金会秘书长审批。50万元以下由基金会秘书长批准同意后，进行报废报损处理。50万元以上经秘书长批准后，还需理事长审批后上报</w:t>
      </w:r>
      <w:r>
        <w:rPr>
          <w:rFonts w:hint="eastAsia" w:asciiTheme="minorEastAsia" w:hAnsiTheme="minorEastAsia" w:eastAsiaTheme="minorEastAsia" w:cstheme="minorEastAsia"/>
          <w:sz w:val="32"/>
          <w:szCs w:val="32"/>
          <w:lang w:val="en-US" w:eastAsia="zh-CN"/>
        </w:rPr>
        <w:t>基金会</w:t>
      </w:r>
      <w:r>
        <w:rPr>
          <w:rFonts w:hint="default" w:asciiTheme="minorEastAsia" w:hAnsiTheme="minorEastAsia" w:eastAsiaTheme="minorEastAsia" w:cstheme="minorEastAsia"/>
          <w:sz w:val="32"/>
          <w:szCs w:val="32"/>
          <w:lang w:val="en-US" w:eastAsia="zh-CN"/>
        </w:rPr>
        <w:t>相关部门。</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第八条</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固定资产的信息披露:按时向业务主管部门报告固定资产增减变动、使用用途等情况。转赠资产应及时向捐赠人反馈转赠信息。审计报告应如实反映固定资产信息情况。</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第九条</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基金会应加强对固定资产的管理，保证资产的安全、完整。如因个人原因造成基金会资产损失，应对其通报批评、处分，并责令赔偿，情节严重的，提请司法机关依法处理。</w:t>
      </w:r>
    </w:p>
    <w:p>
      <w:pPr>
        <w:ind w:firstLine="640" w:firstLineChars="200"/>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第十条</w:t>
      </w:r>
      <w:r>
        <w:rPr>
          <w:rFonts w:hint="eastAsia" w:asciiTheme="minorEastAsia" w:hAnsiTheme="minorEastAsia" w:eastAsiaTheme="minorEastAsia" w:cstheme="minorEastAsia"/>
          <w:sz w:val="32"/>
          <w:szCs w:val="32"/>
          <w:lang w:val="en-US" w:eastAsia="zh-CN"/>
        </w:rPr>
        <w:t xml:space="preserve"> </w:t>
      </w:r>
      <w:r>
        <w:rPr>
          <w:rFonts w:hint="default" w:asciiTheme="minorEastAsia" w:hAnsiTheme="minorEastAsia" w:eastAsiaTheme="minorEastAsia" w:cstheme="minorEastAsia"/>
          <w:sz w:val="32"/>
          <w:szCs w:val="32"/>
          <w:lang w:val="en-US" w:eastAsia="zh-CN"/>
        </w:rPr>
        <w:t>本办法由基金会综合部负责解释。</w:t>
      </w:r>
    </w:p>
    <w:p>
      <w:pPr>
        <w:ind w:firstLine="640" w:firstLineChars="200"/>
        <w:rPr>
          <w:rFonts w:hint="eastAsia" w:asciiTheme="minorEastAsia" w:hAnsiTheme="minorEastAsia" w:eastAsiaTheme="minorEastAsia" w:cstheme="minorEastAsia"/>
          <w:sz w:val="32"/>
          <w:szCs w:val="32"/>
          <w:lang w:val="en-US" w:eastAsia="zh-CN"/>
        </w:rPr>
      </w:pPr>
    </w:p>
    <w:p>
      <w:pPr>
        <w:ind w:firstLine="3520" w:firstLineChars="1100"/>
        <w:rPr>
          <w:rFonts w:hint="eastAsia" w:asciiTheme="minorEastAsia" w:hAnsiTheme="minorEastAsia" w:eastAsiaTheme="minorEastAsia" w:cstheme="minorEastAsia"/>
          <w:sz w:val="32"/>
          <w:szCs w:val="32"/>
          <w:lang w:val="en-US" w:eastAsia="zh-CN"/>
        </w:rPr>
      </w:pPr>
    </w:p>
    <w:p>
      <w:pPr>
        <w:ind w:firstLine="3520" w:firstLineChars="11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贵州文化薪火乡村发展基金会</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                         2019年1月1日</w:t>
      </w:r>
    </w:p>
    <w:p>
      <w:pPr>
        <w:ind w:firstLine="640" w:firstLineChars="200"/>
        <w:rPr>
          <w:rFonts w:hint="default" w:asciiTheme="minorEastAsia" w:hAnsiTheme="minorEastAsia" w:eastAsiaTheme="minorEastAsia" w:cstheme="minorEastAsia"/>
          <w:sz w:val="32"/>
          <w:szCs w:val="3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auto"/>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宋体"/>
        <w:lang w:eastAsia="zh-CN"/>
      </w:rPr>
      <w:drawing>
        <wp:inline distT="0" distB="0" distL="114300" distR="114300">
          <wp:extent cx="5172075" cy="609600"/>
          <wp:effectExtent l="0" t="0" r="9525" b="0"/>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pic:cNvPicPr>
                </pic:nvPicPr>
                <pic:blipFill>
                  <a:blip r:embed="rId1"/>
                  <a:stretch>
                    <a:fillRect/>
                  </a:stretch>
                </pic:blipFill>
                <pic:spPr>
                  <a:xfrm>
                    <a:off x="0" y="0"/>
                    <a:ext cx="517207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77F6C"/>
    <w:rsid w:val="225846D2"/>
    <w:rsid w:val="3A330C65"/>
    <w:rsid w:val="52A5514D"/>
    <w:rsid w:val="59384C88"/>
    <w:rsid w:val="605F3A5C"/>
    <w:rsid w:val="64A93D10"/>
    <w:rsid w:val="65B974BF"/>
    <w:rsid w:val="6EE43F55"/>
    <w:rsid w:val="7E67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2021-11-17T03:15:00Z</dcterms:created>
  <dc:creator>程梦妮</dc:creator>
  <cp:lastModifiedBy>Kate</cp:lastModifiedBy>
  <cp:lastPrinted>2021-11-18T03:05:09Z</cp:lastPrinted>
  <dcterms:modified xsi:type="dcterms:W3CDTF">2021-11-18T03:05:11Z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6EC6A6B90D354B21AC57B53B6AC87E59</vt:lpwstr>
  </property>
</Properties>
</file>